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19" w:rsidRDefault="00977617">
      <w:pPr>
        <w:pStyle w:val="a4"/>
        <w:spacing w:before="70"/>
      </w:pPr>
      <w:bookmarkStart w:id="0" w:name="_GoBack"/>
      <w:bookmarkEnd w:id="0"/>
      <w:r>
        <w:t>План</w:t>
      </w:r>
      <w:r>
        <w:rPr>
          <w:spacing w:val="-5"/>
        </w:rPr>
        <w:t xml:space="preserve"> </w:t>
      </w:r>
      <w:r>
        <w:t>мероприятий</w:t>
      </w:r>
    </w:p>
    <w:p w:rsidR="00B84219" w:rsidRDefault="00977617">
      <w:pPr>
        <w:pStyle w:val="a4"/>
        <w:ind w:right="4070"/>
      </w:pPr>
      <w:r>
        <w:t>по</w:t>
      </w:r>
      <w:r>
        <w:rPr>
          <w:spacing w:val="46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A87347">
        <w:t>2023-2024</w:t>
      </w:r>
      <w:r>
        <w:rPr>
          <w:spacing w:val="-10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B84219" w:rsidRDefault="00977617">
      <w:pPr>
        <w:pStyle w:val="a3"/>
        <w:ind w:left="260"/>
      </w:pPr>
      <w:r>
        <w:t>Цель:</w:t>
      </w:r>
      <w:r>
        <w:rPr>
          <w:spacing w:val="2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разумного</w:t>
      </w:r>
      <w:r>
        <w:rPr>
          <w:spacing w:val="4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при принятии</w:t>
      </w:r>
      <w:r>
        <w:rPr>
          <w:spacing w:val="2"/>
        </w:rPr>
        <w:t xml:space="preserve"> </w:t>
      </w:r>
      <w:r>
        <w:t>обоснованных</w:t>
      </w:r>
      <w:r>
        <w:rPr>
          <w:spacing w:val="8"/>
        </w:rPr>
        <w:t xml:space="preserve"> </w:t>
      </w:r>
      <w:r>
        <w:t>решений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личным</w:t>
      </w:r>
      <w:r>
        <w:rPr>
          <w:spacing w:val="5"/>
        </w:rPr>
        <w:t xml:space="preserve"> </w:t>
      </w:r>
      <w:r>
        <w:t>финансам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 w:rsidR="00A87347">
        <w:t>эф</w:t>
      </w:r>
      <w:r>
        <w:t>фективности</w:t>
      </w:r>
      <w:r>
        <w:rPr>
          <w:spacing w:val="-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их прав</w:t>
      </w:r>
      <w:r>
        <w:rPr>
          <w:spacing w:val="-3"/>
        </w:rPr>
        <w:t xml:space="preserve"> </w:t>
      </w:r>
      <w:r>
        <w:t>как потребителей</w:t>
      </w:r>
      <w:r>
        <w:rPr>
          <w:spacing w:val="4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услуг.</w:t>
      </w:r>
    </w:p>
    <w:p w:rsidR="00B84219" w:rsidRDefault="00977617">
      <w:pPr>
        <w:pStyle w:val="a3"/>
        <w:ind w:left="332"/>
      </w:pPr>
      <w:r>
        <w:t>Задачи: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сбережений;</w:t>
      </w:r>
      <w:r>
        <w:rPr>
          <w:spacing w:val="-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рационального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привлечению</w:t>
      </w:r>
      <w:r>
        <w:rPr>
          <w:spacing w:val="-7"/>
        </w:rPr>
        <w:t xml:space="preserve"> </w:t>
      </w:r>
      <w:r>
        <w:t>кредитов;</w:t>
      </w:r>
    </w:p>
    <w:p w:rsidR="00B84219" w:rsidRDefault="00977617">
      <w:pPr>
        <w:pStyle w:val="a5"/>
        <w:numPr>
          <w:ilvl w:val="0"/>
          <w:numId w:val="2"/>
        </w:numPr>
        <w:tabs>
          <w:tab w:val="left" w:pos="111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пирамид;</w:t>
      </w:r>
    </w:p>
    <w:p w:rsidR="00B84219" w:rsidRDefault="00977617">
      <w:pPr>
        <w:pStyle w:val="a5"/>
        <w:numPr>
          <w:ilvl w:val="0"/>
          <w:numId w:val="2"/>
        </w:numPr>
        <w:tabs>
          <w:tab w:val="left" w:pos="1117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отстаивание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институтами;</w:t>
      </w:r>
    </w:p>
    <w:p w:rsidR="00B41B1B" w:rsidRDefault="00977617" w:rsidP="00B41B1B">
      <w:pPr>
        <w:pStyle w:val="a5"/>
        <w:numPr>
          <w:ilvl w:val="0"/>
          <w:numId w:val="2"/>
        </w:numPr>
        <w:tabs>
          <w:tab w:val="left" w:pos="1117"/>
        </w:tabs>
        <w:spacing w:line="265" w:lineRule="exact"/>
        <w:rPr>
          <w:sz w:val="24"/>
        </w:rPr>
      </w:pPr>
      <w:r w:rsidRPr="00B41B1B">
        <w:rPr>
          <w:sz w:val="24"/>
        </w:rPr>
        <w:t>формирование</w:t>
      </w:r>
      <w:r w:rsidRPr="00B41B1B">
        <w:rPr>
          <w:spacing w:val="-2"/>
          <w:sz w:val="24"/>
        </w:rPr>
        <w:t xml:space="preserve"> </w:t>
      </w:r>
      <w:r w:rsidRPr="00B41B1B">
        <w:rPr>
          <w:sz w:val="24"/>
        </w:rPr>
        <w:t>установок</w:t>
      </w:r>
      <w:r w:rsidRPr="00B41B1B">
        <w:rPr>
          <w:spacing w:val="-6"/>
          <w:sz w:val="24"/>
        </w:rPr>
        <w:t xml:space="preserve"> </w:t>
      </w:r>
      <w:r w:rsidRPr="00B41B1B">
        <w:rPr>
          <w:sz w:val="24"/>
        </w:rPr>
        <w:t>на</w:t>
      </w:r>
      <w:r w:rsidRPr="00B41B1B">
        <w:rPr>
          <w:spacing w:val="-7"/>
          <w:sz w:val="24"/>
        </w:rPr>
        <w:t xml:space="preserve"> </w:t>
      </w:r>
      <w:r w:rsidRPr="00B41B1B">
        <w:rPr>
          <w:sz w:val="24"/>
        </w:rPr>
        <w:t>повышение</w:t>
      </w:r>
      <w:r w:rsidRPr="00B41B1B">
        <w:rPr>
          <w:spacing w:val="-6"/>
          <w:sz w:val="24"/>
        </w:rPr>
        <w:t xml:space="preserve"> </w:t>
      </w:r>
      <w:r w:rsidRPr="00B41B1B">
        <w:rPr>
          <w:sz w:val="24"/>
        </w:rPr>
        <w:t>финансового</w:t>
      </w:r>
      <w:r w:rsidRPr="00B41B1B">
        <w:rPr>
          <w:spacing w:val="-7"/>
          <w:sz w:val="24"/>
        </w:rPr>
        <w:t xml:space="preserve"> </w:t>
      </w:r>
      <w:r w:rsidRPr="00B41B1B">
        <w:rPr>
          <w:sz w:val="24"/>
        </w:rPr>
        <w:t>образования,</w:t>
      </w:r>
      <w:r w:rsidRPr="00B41B1B">
        <w:rPr>
          <w:spacing w:val="-7"/>
          <w:sz w:val="24"/>
        </w:rPr>
        <w:t xml:space="preserve"> </w:t>
      </w:r>
      <w:r w:rsidRPr="00B41B1B">
        <w:rPr>
          <w:sz w:val="24"/>
        </w:rPr>
        <w:t>информированности</w:t>
      </w:r>
      <w:r w:rsidRPr="00B41B1B">
        <w:rPr>
          <w:spacing w:val="-7"/>
          <w:sz w:val="24"/>
        </w:rPr>
        <w:t xml:space="preserve"> </w:t>
      </w:r>
      <w:r w:rsidRPr="00B41B1B">
        <w:rPr>
          <w:sz w:val="24"/>
        </w:rPr>
        <w:t>в</w:t>
      </w:r>
      <w:r w:rsidRPr="00B41B1B">
        <w:rPr>
          <w:spacing w:val="-9"/>
          <w:sz w:val="24"/>
        </w:rPr>
        <w:t xml:space="preserve"> </w:t>
      </w:r>
      <w:r w:rsidRPr="00B41B1B">
        <w:rPr>
          <w:sz w:val="24"/>
        </w:rPr>
        <w:t>сфере</w:t>
      </w:r>
      <w:r w:rsidRPr="00B41B1B">
        <w:rPr>
          <w:spacing w:val="-3"/>
          <w:sz w:val="24"/>
        </w:rPr>
        <w:t xml:space="preserve"> </w:t>
      </w:r>
      <w:r w:rsidRPr="00B41B1B">
        <w:rPr>
          <w:sz w:val="24"/>
        </w:rPr>
        <w:t>управления</w:t>
      </w:r>
      <w:r w:rsidRPr="00B41B1B">
        <w:rPr>
          <w:spacing w:val="-2"/>
          <w:sz w:val="24"/>
        </w:rPr>
        <w:t xml:space="preserve"> </w:t>
      </w:r>
      <w:r w:rsidRPr="00B41B1B">
        <w:rPr>
          <w:sz w:val="24"/>
        </w:rPr>
        <w:t>личными</w:t>
      </w:r>
      <w:r w:rsidRPr="00B41B1B">
        <w:rPr>
          <w:spacing w:val="-5"/>
          <w:sz w:val="24"/>
        </w:rPr>
        <w:t xml:space="preserve"> </w:t>
      </w:r>
      <w:r w:rsidR="00B41B1B">
        <w:rPr>
          <w:sz w:val="24"/>
        </w:rPr>
        <w:t>финансами.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9297"/>
        <w:gridCol w:w="3281"/>
        <w:gridCol w:w="2086"/>
      </w:tblGrid>
      <w:tr w:rsidR="00B41B1B" w:rsidTr="00B41B1B">
        <w:trPr>
          <w:trHeight w:val="551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297" w:type="dxa"/>
          </w:tcPr>
          <w:p w:rsidR="00B41B1B" w:rsidRDefault="00B41B1B" w:rsidP="00AA62B1">
            <w:pPr>
              <w:pStyle w:val="TableParagraph"/>
              <w:spacing w:line="268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281" w:type="dxa"/>
          </w:tcPr>
          <w:p w:rsidR="00B41B1B" w:rsidRDefault="00B41B1B" w:rsidP="00AA62B1">
            <w:pPr>
              <w:pStyle w:val="TableParagraph"/>
              <w:spacing w:line="268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2086" w:type="dxa"/>
          </w:tcPr>
          <w:p w:rsidR="00B41B1B" w:rsidRDefault="00B41B1B" w:rsidP="00AA62B1">
            <w:pPr>
              <w:pStyle w:val="TableParagraph"/>
              <w:spacing w:line="268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B41B1B" w:rsidTr="00B41B1B">
        <w:trPr>
          <w:trHeight w:val="558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97" w:type="dxa"/>
            <w:tcBorders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Организация работы по реализации «Единой рамки компетенций по ф</w:t>
            </w:r>
            <w:r w:rsidRPr="00F90DF7">
              <w:rPr>
                <w:rFonts w:eastAsiaTheme="minorEastAsia"/>
              </w:rPr>
              <w:t>инансовой грамотности для учащихся школьного возраста</w:t>
            </w:r>
            <w:r w:rsidRPr="00F90DF7">
              <w:t>»</w:t>
            </w:r>
            <w:r w:rsidRPr="00F90DF7">
              <w:rPr>
                <w:rFonts w:eastAsiaTheme="minorEastAsia"/>
              </w:rPr>
              <w:t xml:space="preserve"> </w:t>
            </w:r>
            <w:r w:rsidRPr="005F4D28">
              <w:rPr>
                <w:rFonts w:eastAsiaTheme="minorEastAsia"/>
              </w:rPr>
              <w:t>(</w:t>
            </w:r>
            <w:r w:rsidRPr="005F4D28">
              <w:rPr>
                <w:rFonts w:eastAsiaTheme="minorEastAsia"/>
                <w:bCs/>
              </w:rPr>
              <w:t>включение программ по финансовой грамотности в образовательную практику общеобразовательных учреждений</w:t>
            </w:r>
            <w:r w:rsidRPr="005F4D28">
              <w:rPr>
                <w:rFonts w:eastAsiaTheme="minorEastAsia"/>
              </w:rPr>
              <w:t>)</w:t>
            </w:r>
          </w:p>
        </w:tc>
        <w:tc>
          <w:tcPr>
            <w:tcW w:w="328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Руководители общеобразовательных учреждений</w:t>
            </w:r>
          </w:p>
        </w:tc>
        <w:tc>
          <w:tcPr>
            <w:tcW w:w="208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566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Размещение информационных материалов по</w:t>
            </w:r>
          </w:p>
          <w:p w:rsidR="00B41B1B" w:rsidRPr="00F90DF7" w:rsidRDefault="00B41B1B" w:rsidP="00AA62B1">
            <w:pPr>
              <w:pStyle w:val="a8"/>
            </w:pPr>
            <w:r w:rsidRPr="00F90DF7">
              <w:t>финансовой грамотности на стендах и на сайтах образовательных организациях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Руководители образовательных организаци</w:t>
            </w:r>
            <w:r>
              <w:t>й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551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Повышение квалификации педагогов ОО по вопросам преподавания основ финансовой грамотности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Руководители образовательных организаци</w:t>
            </w:r>
            <w:r>
              <w:t>й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273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53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 xml:space="preserve">Популяризация интернет-порталов по финансовой грамотности обучающихся </w:t>
            </w:r>
            <w:r>
              <w:t>(</w:t>
            </w:r>
            <w:r w:rsidRPr="00F90DF7">
              <w:t>ссылки прилагаются</w:t>
            </w:r>
            <w:r>
              <w:t>)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>
              <w:t xml:space="preserve">Руководители </w:t>
            </w:r>
            <w:r w:rsidRPr="00F90DF7">
              <w:t>образовательных организаци</w:t>
            </w:r>
            <w:r>
              <w:t>й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287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 xml:space="preserve">Участие во Всероссийской олимпиаде сайта </w:t>
            </w:r>
            <w:proofErr w:type="spellStart"/>
            <w:r w:rsidRPr="00F90DF7">
              <w:t>Учи.ру</w:t>
            </w:r>
            <w:proofErr w:type="spellEnd"/>
            <w:r w:rsidRPr="00F90DF7">
              <w:t xml:space="preserve"> для обучающихся  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Педагоги-предметники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562"/>
          <w:jc w:val="center"/>
        </w:trPr>
        <w:tc>
          <w:tcPr>
            <w:tcW w:w="763" w:type="dxa"/>
          </w:tcPr>
          <w:p w:rsidR="00B41B1B" w:rsidRDefault="00B41B1B" w:rsidP="00AA62B1">
            <w:pPr>
              <w:pStyle w:val="TableParagraph"/>
              <w:spacing w:line="268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Участие в осенней сессии 2023 г. и весенней сессии 2024 г. онлайн-проектов Банка России по финансовой грамотности («Онлайн-уроки финансовой грамотности для школьников»  – </w:t>
            </w:r>
            <w:hyperlink r:id="rId5" w:history="1">
              <w:r w:rsidRPr="00F90DF7">
                <w:t>https://dni-fg.ru/</w:t>
              </w:r>
            </w:hyperlink>
            <w:r w:rsidRPr="00F90DF7">
              <w:t>, проекте «ДОЛ-игра» – </w:t>
            </w:r>
            <w:hyperlink r:id="rId6" w:history="1">
              <w:r w:rsidRPr="00F90DF7">
                <w:t>https://doligra.ru/</w:t>
              </w:r>
            </w:hyperlink>
            <w:r w:rsidRPr="00F90DF7">
              <w:t xml:space="preserve">, серии </w:t>
            </w:r>
            <w:proofErr w:type="spellStart"/>
            <w:r w:rsidRPr="00F90DF7">
              <w:t>вебинаров</w:t>
            </w:r>
            <w:proofErr w:type="spellEnd"/>
            <w:r w:rsidRPr="00F90DF7">
              <w:t xml:space="preserve"> «Грамотный инвестор» – </w:t>
            </w:r>
            <w:hyperlink r:id="rId7" w:history="1">
              <w:r w:rsidRPr="00F90DF7">
                <w:t>https://investor.dni-fg.ru/</w:t>
              </w:r>
            </w:hyperlink>
            <w:r w:rsidRPr="00F90DF7">
              <w:t>)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>Учителя обществознания, классные руководители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AA62B1">
            <w:pPr>
              <w:pStyle w:val="a8"/>
            </w:pPr>
            <w:r w:rsidRPr="00F90DF7">
              <w:t xml:space="preserve">Осень, весна </w:t>
            </w:r>
          </w:p>
        </w:tc>
      </w:tr>
      <w:tr w:rsidR="00B41B1B" w:rsidTr="00B41B1B">
        <w:trPr>
          <w:trHeight w:val="456"/>
          <w:jc w:val="center"/>
        </w:trPr>
        <w:tc>
          <w:tcPr>
            <w:tcW w:w="763" w:type="dxa"/>
          </w:tcPr>
          <w:p w:rsidR="00B41B1B" w:rsidRDefault="00B41B1B" w:rsidP="00B41B1B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>
              <w:t>Организация работы с родителями по ф</w:t>
            </w:r>
            <w:r w:rsidRPr="00EC4107">
              <w:t>ормировани</w:t>
            </w:r>
            <w:r>
              <w:t>ю</w:t>
            </w:r>
            <w:r w:rsidRPr="00EC4107">
              <w:t xml:space="preserve"> основ рационального финансового поведения</w:t>
            </w:r>
            <w:r>
              <w:t xml:space="preserve"> (родительские лектории, распространение буклетов, видеороликов)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>Руководители образовательных организаци</w:t>
            </w:r>
            <w:r>
              <w:t>й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710"/>
          <w:jc w:val="center"/>
        </w:trPr>
        <w:tc>
          <w:tcPr>
            <w:tcW w:w="763" w:type="dxa"/>
          </w:tcPr>
          <w:p w:rsidR="00B41B1B" w:rsidRDefault="00B41B1B" w:rsidP="00B41B1B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 xml:space="preserve">Проведение в образовательных организациях всех уровней образования </w:t>
            </w:r>
            <w:r w:rsidRPr="005F4D28">
              <w:rPr>
                <w:bCs/>
              </w:rPr>
              <w:t>викторин, творческих конкурсов, деловых игр,</w:t>
            </w:r>
            <w:r w:rsidRPr="00F90DF7">
              <w:t xml:space="preserve"> направленных на формирование ответственного распоряжения личными и семейными финансами</w:t>
            </w:r>
            <w:r>
              <w:t xml:space="preserve"> в рамках «Недели финансовой грамотности»</w:t>
            </w:r>
            <w:r w:rsidRPr="00F90DF7">
              <w:t>.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>Руководители образовательных организаци</w:t>
            </w:r>
            <w:r>
              <w:t>й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>Осень, весна</w:t>
            </w:r>
          </w:p>
        </w:tc>
      </w:tr>
      <w:tr w:rsidR="00B41B1B" w:rsidTr="00B41B1B">
        <w:trPr>
          <w:trHeight w:val="710"/>
          <w:jc w:val="center"/>
        </w:trPr>
        <w:tc>
          <w:tcPr>
            <w:tcW w:w="763" w:type="dxa"/>
          </w:tcPr>
          <w:p w:rsidR="00B41B1B" w:rsidRDefault="00B41B1B" w:rsidP="00B41B1B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5F4D28" w:rsidRDefault="00B41B1B" w:rsidP="00B41B1B">
            <w:pPr>
              <w:rPr>
                <w:lang w:eastAsia="ru-RU"/>
              </w:rPr>
            </w:pPr>
            <w:r w:rsidRPr="005F4D28">
              <w:rPr>
                <w:lang w:eastAsia="ru-RU"/>
              </w:rPr>
              <w:t xml:space="preserve">Организация семинаров для педагогов: </w:t>
            </w:r>
          </w:p>
          <w:p w:rsidR="00B41B1B" w:rsidRPr="005F4D28" w:rsidRDefault="00B41B1B" w:rsidP="00B41B1B">
            <w:pPr>
              <w:rPr>
                <w:lang w:eastAsia="ru-RU"/>
              </w:rPr>
            </w:pPr>
            <w:r w:rsidRPr="005F4D28">
              <w:rPr>
                <w:lang w:eastAsia="ru-RU"/>
              </w:rPr>
              <w:t>«Методика обучения финансовой грамотности разных групп обучающихся с учетом их возрастных особенностей»;</w:t>
            </w:r>
          </w:p>
          <w:p w:rsidR="00B41B1B" w:rsidRPr="005F4D28" w:rsidRDefault="00B41B1B" w:rsidP="00B41B1B">
            <w:pPr>
              <w:rPr>
                <w:lang w:eastAsia="ru-RU"/>
              </w:rPr>
            </w:pPr>
            <w:r w:rsidRPr="005F4D28">
              <w:rPr>
                <w:lang w:eastAsia="ru-RU"/>
              </w:rPr>
              <w:t>«Использование Интернет- ресурсов в педагогической деятельности по формированию финансовой культуры»;</w:t>
            </w:r>
          </w:p>
          <w:p w:rsidR="00B41B1B" w:rsidRDefault="00B41B1B" w:rsidP="00B41B1B">
            <w:pPr>
              <w:pStyle w:val="TableParagraph"/>
              <w:spacing w:line="240" w:lineRule="auto"/>
              <w:ind w:left="0" w:right="113"/>
              <w:rPr>
                <w:sz w:val="24"/>
              </w:rPr>
            </w:pPr>
            <w:r w:rsidRPr="005F4D28">
              <w:rPr>
                <w:lang w:eastAsia="ru-RU"/>
              </w:rPr>
              <w:t>«Эффективные практики по вопросам преподавания основ финансовой грамотности».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Default="00B41B1B" w:rsidP="00B41B1B">
            <w:pPr>
              <w:pStyle w:val="TableParagraph"/>
              <w:tabs>
                <w:tab w:val="left" w:pos="3360"/>
              </w:tabs>
              <w:spacing w:line="265" w:lineRule="exact"/>
              <w:ind w:left="0"/>
              <w:rPr>
                <w:sz w:val="24"/>
              </w:rPr>
            </w:pPr>
            <w:r>
              <w:t>Методический центр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Default="00B41B1B" w:rsidP="00B41B1B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F90DF7">
              <w:t>В течение учебного года</w:t>
            </w:r>
          </w:p>
        </w:tc>
      </w:tr>
      <w:tr w:rsidR="00B41B1B" w:rsidTr="00B41B1B">
        <w:trPr>
          <w:trHeight w:val="426"/>
          <w:jc w:val="center"/>
        </w:trPr>
        <w:tc>
          <w:tcPr>
            <w:tcW w:w="763" w:type="dxa"/>
          </w:tcPr>
          <w:p w:rsidR="00B41B1B" w:rsidRDefault="00B41B1B" w:rsidP="00B41B1B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 w:rsidRPr="00F90DF7">
              <w:t>Мониторинг и оценка уровня финансовой грамотности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>
              <w:t>Методический центр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F90DF7" w:rsidRDefault="00B41B1B" w:rsidP="00B41B1B">
            <w:pPr>
              <w:pStyle w:val="a8"/>
            </w:pPr>
            <w:r>
              <w:t>По итогам каждого полугодия</w:t>
            </w:r>
          </w:p>
        </w:tc>
      </w:tr>
      <w:tr w:rsidR="00B41B1B" w:rsidTr="00B41B1B">
        <w:trPr>
          <w:trHeight w:val="562"/>
          <w:jc w:val="center"/>
        </w:trPr>
        <w:tc>
          <w:tcPr>
            <w:tcW w:w="763" w:type="dxa"/>
          </w:tcPr>
          <w:p w:rsidR="00B41B1B" w:rsidRDefault="00B41B1B" w:rsidP="00B41B1B">
            <w:pPr>
              <w:pStyle w:val="TableParagraph"/>
              <w:spacing w:line="265" w:lineRule="exact"/>
              <w:ind w:left="0" w:right="3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9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B41B1B" w:rsidRDefault="00B41B1B" w:rsidP="00B41B1B">
            <w:pPr>
              <w:pStyle w:val="TableParagraph"/>
              <w:spacing w:line="268" w:lineRule="exact"/>
              <w:ind w:left="0"/>
            </w:pPr>
            <w:r w:rsidRPr="005F4D28">
              <w:rPr>
                <w:color w:val="111115"/>
              </w:rPr>
              <w:t>Создание</w:t>
            </w:r>
            <w:r w:rsidRPr="005F4D28">
              <w:rPr>
                <w:color w:val="111115"/>
                <w:spacing w:val="-7"/>
              </w:rPr>
              <w:t xml:space="preserve"> </w:t>
            </w:r>
            <w:r w:rsidRPr="005F4D28">
              <w:rPr>
                <w:color w:val="111115"/>
              </w:rPr>
              <w:t>нормативного</w:t>
            </w:r>
            <w:r w:rsidRPr="005F4D28">
              <w:rPr>
                <w:color w:val="111115"/>
                <w:spacing w:val="-3"/>
              </w:rPr>
              <w:t xml:space="preserve"> </w:t>
            </w:r>
            <w:r w:rsidRPr="005F4D28">
              <w:rPr>
                <w:color w:val="111115"/>
              </w:rPr>
              <w:t>обеспечения</w:t>
            </w:r>
            <w:r w:rsidRPr="005F4D28">
              <w:rPr>
                <w:color w:val="111115"/>
                <w:spacing w:val="-3"/>
              </w:rPr>
              <w:t xml:space="preserve"> </w:t>
            </w:r>
            <w:r w:rsidRPr="005F4D28">
              <w:rPr>
                <w:color w:val="111115"/>
              </w:rPr>
              <w:t>повышения</w:t>
            </w:r>
            <w:r>
              <w:t xml:space="preserve"> </w:t>
            </w:r>
            <w:r w:rsidRPr="005F4D28">
              <w:rPr>
                <w:color w:val="111115"/>
              </w:rPr>
              <w:t>качества</w:t>
            </w:r>
            <w:r w:rsidRPr="005F4D28">
              <w:rPr>
                <w:color w:val="111115"/>
                <w:spacing w:val="-4"/>
              </w:rPr>
              <w:t xml:space="preserve"> </w:t>
            </w:r>
            <w:r w:rsidRPr="005F4D28">
              <w:rPr>
                <w:color w:val="111115"/>
              </w:rPr>
              <w:t>обучения</w:t>
            </w:r>
            <w:r w:rsidRPr="005F4D28">
              <w:rPr>
                <w:color w:val="111115"/>
                <w:spacing w:val="-4"/>
              </w:rPr>
              <w:t xml:space="preserve"> </w:t>
            </w:r>
            <w:r w:rsidRPr="005F4D28">
              <w:rPr>
                <w:color w:val="111115"/>
              </w:rPr>
              <w:t>по</w:t>
            </w:r>
            <w:r w:rsidRPr="005F4D28">
              <w:rPr>
                <w:color w:val="111115"/>
                <w:spacing w:val="-6"/>
              </w:rPr>
              <w:t xml:space="preserve"> </w:t>
            </w:r>
            <w:r w:rsidRPr="005F4D28">
              <w:rPr>
                <w:color w:val="111115"/>
              </w:rPr>
              <w:t>финансовой</w:t>
            </w:r>
            <w:r w:rsidRPr="005F4D28">
              <w:rPr>
                <w:color w:val="111115"/>
                <w:spacing w:val="-5"/>
              </w:rPr>
              <w:t xml:space="preserve"> </w:t>
            </w:r>
            <w:r w:rsidRPr="005F4D28">
              <w:rPr>
                <w:color w:val="111115"/>
              </w:rPr>
              <w:t>грамотности</w:t>
            </w:r>
            <w:r w:rsidRPr="005F4D28">
              <w:rPr>
                <w:color w:val="111115"/>
                <w:spacing w:val="-7"/>
              </w:rPr>
              <w:t xml:space="preserve"> </w:t>
            </w:r>
            <w:r w:rsidRPr="005F4D28">
              <w:rPr>
                <w:color w:val="111115"/>
              </w:rPr>
              <w:t>на</w:t>
            </w:r>
            <w:r w:rsidRPr="005F4D28">
              <w:rPr>
                <w:color w:val="111115"/>
                <w:spacing w:val="-57"/>
              </w:rPr>
              <w:t xml:space="preserve"> </w:t>
            </w:r>
            <w:r w:rsidRPr="005F4D28">
              <w:rPr>
                <w:color w:val="111115"/>
              </w:rPr>
              <w:t>2024/2025</w:t>
            </w:r>
            <w:r w:rsidRPr="005F4D28">
              <w:rPr>
                <w:color w:val="111115"/>
                <w:spacing w:val="1"/>
              </w:rPr>
              <w:t xml:space="preserve"> </w:t>
            </w:r>
            <w:r w:rsidRPr="005F4D28">
              <w:rPr>
                <w:color w:val="111115"/>
              </w:rPr>
              <w:t>учебный</w:t>
            </w:r>
            <w:r w:rsidRPr="005F4D28">
              <w:rPr>
                <w:color w:val="111115"/>
                <w:spacing w:val="-2"/>
              </w:rPr>
              <w:t xml:space="preserve"> </w:t>
            </w:r>
            <w:r w:rsidRPr="005F4D28">
              <w:rPr>
                <w:color w:val="111115"/>
              </w:rPr>
              <w:t>год</w:t>
            </w:r>
          </w:p>
        </w:tc>
        <w:tc>
          <w:tcPr>
            <w:tcW w:w="32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Default="00B41B1B" w:rsidP="00B41B1B">
            <w:pPr>
              <w:pStyle w:val="TableParagraph"/>
              <w:spacing w:line="265" w:lineRule="exact"/>
              <w:ind w:left="0"/>
              <w:rPr>
                <w:spacing w:val="-1"/>
                <w:sz w:val="24"/>
              </w:rPr>
            </w:pPr>
            <w:r>
              <w:t>Методический центр</w:t>
            </w:r>
          </w:p>
        </w:tc>
        <w:tc>
          <w:tcPr>
            <w:tcW w:w="20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B41B1B" w:rsidRPr="00EC4107" w:rsidRDefault="00B41B1B" w:rsidP="00B41B1B">
            <w:pPr>
              <w:pStyle w:val="TableParagraph"/>
              <w:spacing w:line="265" w:lineRule="exact"/>
              <w:ind w:left="0"/>
            </w:pPr>
            <w:r w:rsidRPr="00EC4107">
              <w:t xml:space="preserve">Июль </w:t>
            </w:r>
          </w:p>
        </w:tc>
      </w:tr>
    </w:tbl>
    <w:p w:rsidR="00B41B1B" w:rsidRDefault="00B41B1B" w:rsidP="00B41B1B">
      <w:pPr>
        <w:tabs>
          <w:tab w:val="left" w:pos="1117"/>
        </w:tabs>
        <w:spacing w:line="265" w:lineRule="exact"/>
        <w:rPr>
          <w:sz w:val="24"/>
        </w:rPr>
      </w:pPr>
    </w:p>
    <w:p w:rsidR="00B41B1B" w:rsidRPr="00B41B1B" w:rsidRDefault="00B41B1B" w:rsidP="00B41B1B">
      <w:pPr>
        <w:tabs>
          <w:tab w:val="left" w:pos="1117"/>
        </w:tabs>
        <w:spacing w:line="265" w:lineRule="exact"/>
        <w:rPr>
          <w:sz w:val="24"/>
        </w:rPr>
      </w:pPr>
    </w:p>
    <w:sectPr w:rsidR="00B41B1B" w:rsidRPr="00B41B1B" w:rsidSect="00B41B1B">
      <w:pgSz w:w="16850" w:h="11920" w:orient="landscape"/>
      <w:pgMar w:top="284" w:right="660" w:bottom="47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16FF"/>
    <w:multiLevelType w:val="hybridMultilevel"/>
    <w:tmpl w:val="F2F0932A"/>
    <w:lvl w:ilvl="0" w:tplc="1E782BF6">
      <w:numFmt w:val="bullet"/>
      <w:lvlText w:val="-"/>
      <w:lvlJc w:val="left"/>
      <w:pPr>
        <w:ind w:left="110" w:hanging="137"/>
      </w:pPr>
      <w:rPr>
        <w:rFonts w:hint="default"/>
        <w:w w:val="97"/>
        <w:lang w:val="ru-RU" w:eastAsia="en-US" w:bidi="ar-SA"/>
      </w:rPr>
    </w:lvl>
    <w:lvl w:ilvl="1" w:tplc="E55A5F68">
      <w:numFmt w:val="bullet"/>
      <w:lvlText w:val="•"/>
      <w:lvlJc w:val="left"/>
      <w:pPr>
        <w:ind w:left="646" w:hanging="137"/>
      </w:pPr>
      <w:rPr>
        <w:rFonts w:hint="default"/>
        <w:lang w:val="ru-RU" w:eastAsia="en-US" w:bidi="ar-SA"/>
      </w:rPr>
    </w:lvl>
    <w:lvl w:ilvl="2" w:tplc="95D0F180">
      <w:numFmt w:val="bullet"/>
      <w:lvlText w:val="•"/>
      <w:lvlJc w:val="left"/>
      <w:pPr>
        <w:ind w:left="1172" w:hanging="137"/>
      </w:pPr>
      <w:rPr>
        <w:rFonts w:hint="default"/>
        <w:lang w:val="ru-RU" w:eastAsia="en-US" w:bidi="ar-SA"/>
      </w:rPr>
    </w:lvl>
    <w:lvl w:ilvl="3" w:tplc="7C4C12D2">
      <w:numFmt w:val="bullet"/>
      <w:lvlText w:val="•"/>
      <w:lvlJc w:val="left"/>
      <w:pPr>
        <w:ind w:left="1698" w:hanging="137"/>
      </w:pPr>
      <w:rPr>
        <w:rFonts w:hint="default"/>
        <w:lang w:val="ru-RU" w:eastAsia="en-US" w:bidi="ar-SA"/>
      </w:rPr>
    </w:lvl>
    <w:lvl w:ilvl="4" w:tplc="5076471C">
      <w:numFmt w:val="bullet"/>
      <w:lvlText w:val="•"/>
      <w:lvlJc w:val="left"/>
      <w:pPr>
        <w:ind w:left="2224" w:hanging="137"/>
      </w:pPr>
      <w:rPr>
        <w:rFonts w:hint="default"/>
        <w:lang w:val="ru-RU" w:eastAsia="en-US" w:bidi="ar-SA"/>
      </w:rPr>
    </w:lvl>
    <w:lvl w:ilvl="5" w:tplc="745C72D6">
      <w:numFmt w:val="bullet"/>
      <w:lvlText w:val="•"/>
      <w:lvlJc w:val="left"/>
      <w:pPr>
        <w:ind w:left="2751" w:hanging="137"/>
      </w:pPr>
      <w:rPr>
        <w:rFonts w:hint="default"/>
        <w:lang w:val="ru-RU" w:eastAsia="en-US" w:bidi="ar-SA"/>
      </w:rPr>
    </w:lvl>
    <w:lvl w:ilvl="6" w:tplc="0CE07100">
      <w:numFmt w:val="bullet"/>
      <w:lvlText w:val="•"/>
      <w:lvlJc w:val="left"/>
      <w:pPr>
        <w:ind w:left="3277" w:hanging="137"/>
      </w:pPr>
      <w:rPr>
        <w:rFonts w:hint="default"/>
        <w:lang w:val="ru-RU" w:eastAsia="en-US" w:bidi="ar-SA"/>
      </w:rPr>
    </w:lvl>
    <w:lvl w:ilvl="7" w:tplc="8BB41C0C">
      <w:numFmt w:val="bullet"/>
      <w:lvlText w:val="•"/>
      <w:lvlJc w:val="left"/>
      <w:pPr>
        <w:ind w:left="3803" w:hanging="137"/>
      </w:pPr>
      <w:rPr>
        <w:rFonts w:hint="default"/>
        <w:lang w:val="ru-RU" w:eastAsia="en-US" w:bidi="ar-SA"/>
      </w:rPr>
    </w:lvl>
    <w:lvl w:ilvl="8" w:tplc="5C6646FE">
      <w:numFmt w:val="bullet"/>
      <w:lvlText w:val="•"/>
      <w:lvlJc w:val="left"/>
      <w:pPr>
        <w:ind w:left="4329" w:hanging="137"/>
      </w:pPr>
      <w:rPr>
        <w:rFonts w:hint="default"/>
        <w:lang w:val="ru-RU" w:eastAsia="en-US" w:bidi="ar-SA"/>
      </w:rPr>
    </w:lvl>
  </w:abstractNum>
  <w:abstractNum w:abstractNumId="1" w15:restartNumberingAfterBreak="0">
    <w:nsid w:val="6F247BB1"/>
    <w:multiLevelType w:val="multilevel"/>
    <w:tmpl w:val="F330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71340"/>
    <w:multiLevelType w:val="hybridMultilevel"/>
    <w:tmpl w:val="5A086D86"/>
    <w:lvl w:ilvl="0" w:tplc="2974C6BA">
      <w:numFmt w:val="bullet"/>
      <w:lvlText w:val="-"/>
      <w:lvlJc w:val="left"/>
      <w:pPr>
        <w:ind w:left="1116" w:hanging="13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9506BA2">
      <w:numFmt w:val="bullet"/>
      <w:lvlText w:val="•"/>
      <w:lvlJc w:val="left"/>
      <w:pPr>
        <w:ind w:left="2580" w:hanging="137"/>
      </w:pPr>
      <w:rPr>
        <w:rFonts w:hint="default"/>
        <w:lang w:val="ru-RU" w:eastAsia="en-US" w:bidi="ar-SA"/>
      </w:rPr>
    </w:lvl>
    <w:lvl w:ilvl="2" w:tplc="99E8D450">
      <w:numFmt w:val="bullet"/>
      <w:lvlText w:val="•"/>
      <w:lvlJc w:val="left"/>
      <w:pPr>
        <w:ind w:left="4040" w:hanging="137"/>
      </w:pPr>
      <w:rPr>
        <w:rFonts w:hint="default"/>
        <w:lang w:val="ru-RU" w:eastAsia="en-US" w:bidi="ar-SA"/>
      </w:rPr>
    </w:lvl>
    <w:lvl w:ilvl="3" w:tplc="A40CD644">
      <w:numFmt w:val="bullet"/>
      <w:lvlText w:val="•"/>
      <w:lvlJc w:val="left"/>
      <w:pPr>
        <w:ind w:left="5500" w:hanging="137"/>
      </w:pPr>
      <w:rPr>
        <w:rFonts w:hint="default"/>
        <w:lang w:val="ru-RU" w:eastAsia="en-US" w:bidi="ar-SA"/>
      </w:rPr>
    </w:lvl>
    <w:lvl w:ilvl="4" w:tplc="83388A72">
      <w:numFmt w:val="bullet"/>
      <w:lvlText w:val="•"/>
      <w:lvlJc w:val="left"/>
      <w:pPr>
        <w:ind w:left="6960" w:hanging="137"/>
      </w:pPr>
      <w:rPr>
        <w:rFonts w:hint="default"/>
        <w:lang w:val="ru-RU" w:eastAsia="en-US" w:bidi="ar-SA"/>
      </w:rPr>
    </w:lvl>
    <w:lvl w:ilvl="5" w:tplc="B6FA11A0">
      <w:numFmt w:val="bullet"/>
      <w:lvlText w:val="•"/>
      <w:lvlJc w:val="left"/>
      <w:pPr>
        <w:ind w:left="8420" w:hanging="137"/>
      </w:pPr>
      <w:rPr>
        <w:rFonts w:hint="default"/>
        <w:lang w:val="ru-RU" w:eastAsia="en-US" w:bidi="ar-SA"/>
      </w:rPr>
    </w:lvl>
    <w:lvl w:ilvl="6" w:tplc="8C460632">
      <w:numFmt w:val="bullet"/>
      <w:lvlText w:val="•"/>
      <w:lvlJc w:val="left"/>
      <w:pPr>
        <w:ind w:left="9880" w:hanging="137"/>
      </w:pPr>
      <w:rPr>
        <w:rFonts w:hint="default"/>
        <w:lang w:val="ru-RU" w:eastAsia="en-US" w:bidi="ar-SA"/>
      </w:rPr>
    </w:lvl>
    <w:lvl w:ilvl="7" w:tplc="255CBA38">
      <w:numFmt w:val="bullet"/>
      <w:lvlText w:val="•"/>
      <w:lvlJc w:val="left"/>
      <w:pPr>
        <w:ind w:left="11340" w:hanging="137"/>
      </w:pPr>
      <w:rPr>
        <w:rFonts w:hint="default"/>
        <w:lang w:val="ru-RU" w:eastAsia="en-US" w:bidi="ar-SA"/>
      </w:rPr>
    </w:lvl>
    <w:lvl w:ilvl="8" w:tplc="649E7AA4">
      <w:numFmt w:val="bullet"/>
      <w:lvlText w:val="•"/>
      <w:lvlJc w:val="left"/>
      <w:pPr>
        <w:ind w:left="12800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19"/>
    <w:rsid w:val="004748C6"/>
    <w:rsid w:val="005F4D28"/>
    <w:rsid w:val="00697615"/>
    <w:rsid w:val="00977617"/>
    <w:rsid w:val="00A87347"/>
    <w:rsid w:val="00B41B1B"/>
    <w:rsid w:val="00B84219"/>
    <w:rsid w:val="00EC4107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15A4"/>
  <w15:docId w15:val="{998ADAFB-D1B1-4284-8341-75F27F72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270" w:right="40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16" w:hanging="137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  <w:ind w:left="110"/>
    </w:pPr>
  </w:style>
  <w:style w:type="character" w:styleId="a6">
    <w:name w:val="Hyperlink"/>
    <w:basedOn w:val="a0"/>
    <w:uiPriority w:val="99"/>
    <w:unhideWhenUsed/>
    <w:rsid w:val="0069761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97615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F90D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estor.dni-f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ligra.ru/" TargetMode="External"/><Relationship Id="rId5" Type="http://schemas.openxmlformats.org/officeDocument/2006/relationships/hyperlink" Target="https://dni-f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LIRO-3</dc:creator>
  <cp:lastModifiedBy>Пользователь Windows</cp:lastModifiedBy>
  <cp:revision>3</cp:revision>
  <dcterms:created xsi:type="dcterms:W3CDTF">2024-02-15T07:32:00Z</dcterms:created>
  <dcterms:modified xsi:type="dcterms:W3CDTF">2024-02-15T07:35:00Z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